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88" w:rsidRPr="0019247F" w:rsidRDefault="00A71088" w:rsidP="0019247F">
      <w:pPr>
        <w:jc w:val="center"/>
        <w:rPr>
          <w:rFonts w:ascii="Arial" w:hAnsi="Arial"/>
        </w:rPr>
      </w:pPr>
      <w:r w:rsidRPr="0019247F">
        <w:rPr>
          <w:rFonts w:ascii="Arial" w:hAnsi="Arial"/>
        </w:rPr>
        <w:t>Equity in Higher Education – suitability for ‘others’?</w:t>
      </w:r>
    </w:p>
    <w:p w:rsidR="00A71088" w:rsidRPr="0019247F" w:rsidRDefault="00A71088">
      <w:pPr>
        <w:rPr>
          <w:rFonts w:ascii="Arial" w:hAnsi="Arial"/>
        </w:rPr>
      </w:pPr>
    </w:p>
    <w:p w:rsidR="001E4B21" w:rsidRPr="00D35141" w:rsidRDefault="00A71088">
      <w:pPr>
        <w:rPr>
          <w:rFonts w:ascii="Arial" w:hAnsi="Arial"/>
        </w:rPr>
      </w:pPr>
      <w:r w:rsidRPr="00D35141">
        <w:rPr>
          <w:rFonts w:ascii="Arial" w:hAnsi="Arial"/>
        </w:rPr>
        <w:t>Do traditional assessment methods of post-graduate business students truly measure their knowledge on a subject, or are grades dependant on the student’s demo</w:t>
      </w:r>
      <w:r w:rsidR="001E4B21" w:rsidRPr="00D35141">
        <w:rPr>
          <w:rFonts w:ascii="Arial" w:hAnsi="Arial"/>
        </w:rPr>
        <w:t xml:space="preserve">graphy? </w:t>
      </w:r>
    </w:p>
    <w:p w:rsidR="009A1755" w:rsidRPr="00D35141" w:rsidRDefault="001E4B21">
      <w:pPr>
        <w:rPr>
          <w:rFonts w:ascii="Arial" w:hAnsi="Arial"/>
        </w:rPr>
      </w:pPr>
      <w:r w:rsidRPr="00D35141">
        <w:rPr>
          <w:rFonts w:ascii="Arial" w:hAnsi="Arial"/>
        </w:rPr>
        <w:t>Coventry University has recently introduced a</w:t>
      </w:r>
      <w:r w:rsidR="0019247F">
        <w:rPr>
          <w:rFonts w:ascii="Arial" w:hAnsi="Arial"/>
        </w:rPr>
        <w:t>n interactive</w:t>
      </w:r>
      <w:r w:rsidRPr="00D35141">
        <w:rPr>
          <w:rFonts w:ascii="Arial" w:hAnsi="Arial"/>
        </w:rPr>
        <w:t xml:space="preserve"> verbal exam alongside the traditional written modes of assessment as part of the post-graduate Human Resource Management Masters programme. This research is a longitudinal study examining the relationship between exam results </w:t>
      </w:r>
      <w:r w:rsidR="00F54085">
        <w:rPr>
          <w:rFonts w:ascii="Arial" w:hAnsi="Arial"/>
        </w:rPr>
        <w:t xml:space="preserve">across a range of assessment methods </w:t>
      </w:r>
      <w:r w:rsidRPr="00D35141">
        <w:rPr>
          <w:rFonts w:ascii="Arial" w:hAnsi="Arial"/>
        </w:rPr>
        <w:t xml:space="preserve">and the demographic status of the student. Students are classified as a) Home/EU or b) International students (others). </w:t>
      </w:r>
    </w:p>
    <w:p w:rsidR="009A1755" w:rsidRDefault="001E4B21" w:rsidP="009A1755">
      <w:pPr>
        <w:rPr>
          <w:rFonts w:ascii="Arial" w:hAnsi="Arial"/>
        </w:rPr>
      </w:pPr>
      <w:r w:rsidRPr="00D35141">
        <w:rPr>
          <w:rFonts w:ascii="Arial" w:hAnsi="Arial"/>
        </w:rPr>
        <w:t xml:space="preserve">The Masters programme is modular based. </w:t>
      </w:r>
      <w:r w:rsidR="009A1755">
        <w:rPr>
          <w:rFonts w:ascii="Arial" w:hAnsi="Arial"/>
        </w:rPr>
        <w:t>The majority of assessments in Post-Graduate business</w:t>
      </w:r>
      <w:r w:rsidR="009A1755" w:rsidRPr="007E26B8">
        <w:rPr>
          <w:rFonts w:ascii="Arial" w:hAnsi="Arial"/>
        </w:rPr>
        <w:t xml:space="preserve"> studies are limit</w:t>
      </w:r>
      <w:r w:rsidR="009A1755">
        <w:rPr>
          <w:rFonts w:ascii="Arial" w:hAnsi="Arial"/>
        </w:rPr>
        <w:t>ed to written coursework, written exams and/or pre-prepared presentations</w:t>
      </w:r>
      <w:r w:rsidR="009A1755" w:rsidRPr="007E26B8">
        <w:rPr>
          <w:rFonts w:ascii="Arial" w:hAnsi="Arial"/>
        </w:rPr>
        <w:t>. Due to incorrect perceptions of cost and time implications, too few educational institutions utilise oral assessment techniques.</w:t>
      </w:r>
      <w:r w:rsidR="009A1755">
        <w:rPr>
          <w:rFonts w:ascii="Arial" w:hAnsi="Arial"/>
        </w:rPr>
        <w:t xml:space="preserve"> Knight (1995) states assessment must be part of the learning experience and relevant to real life. Interactive oral assessment aids continuous learning through the interaction itself, and is a mirror of real life situations within organizations. </w:t>
      </w:r>
    </w:p>
    <w:p w:rsidR="008D17AD" w:rsidRDefault="009A1755" w:rsidP="00D35141">
      <w:pPr>
        <w:rPr>
          <w:rFonts w:ascii="Arial" w:hAnsi="Arial"/>
        </w:rPr>
      </w:pPr>
      <w:r w:rsidRPr="007E26B8">
        <w:rPr>
          <w:rFonts w:ascii="Arial" w:hAnsi="Arial"/>
        </w:rPr>
        <w:t>The interactive nature of oral examination</w:t>
      </w:r>
      <w:r>
        <w:rPr>
          <w:rFonts w:ascii="Arial" w:hAnsi="Arial"/>
        </w:rPr>
        <w:t>s allows</w:t>
      </w:r>
      <w:r w:rsidRPr="007E26B8">
        <w:rPr>
          <w:rFonts w:ascii="Arial" w:hAnsi="Arial"/>
        </w:rPr>
        <w:t xml:space="preserve"> assessors to confirm </w:t>
      </w:r>
      <w:r>
        <w:rPr>
          <w:rFonts w:ascii="Arial" w:hAnsi="Arial"/>
        </w:rPr>
        <w:t xml:space="preserve">the </w:t>
      </w:r>
      <w:r w:rsidRPr="007E26B8">
        <w:rPr>
          <w:rFonts w:ascii="Arial" w:hAnsi="Arial"/>
        </w:rPr>
        <w:t xml:space="preserve">meaning of exam questions and meaning within a student’s response. </w:t>
      </w:r>
      <w:r w:rsidR="0019247F" w:rsidRPr="007E26B8">
        <w:rPr>
          <w:rFonts w:ascii="Arial" w:hAnsi="Arial"/>
        </w:rPr>
        <w:t>Chinese students have a propensity to write in an ideological mirrored fashion of Chinese culture; papers lack originality and have sameness about them (Cai 1997)</w:t>
      </w:r>
      <w:r w:rsidR="0019247F">
        <w:rPr>
          <w:rFonts w:ascii="Arial" w:hAnsi="Arial"/>
        </w:rPr>
        <w:t xml:space="preserve">. </w:t>
      </w:r>
      <w:r w:rsidR="00A50A3F">
        <w:rPr>
          <w:rFonts w:ascii="Arial" w:hAnsi="Arial"/>
        </w:rPr>
        <w:t>Using an interactive verbal assessment</w:t>
      </w:r>
      <w:r w:rsidR="002F4401">
        <w:rPr>
          <w:rFonts w:ascii="Arial" w:hAnsi="Arial"/>
        </w:rPr>
        <w:t>,</w:t>
      </w:r>
      <w:r w:rsidR="00A50A3F">
        <w:rPr>
          <w:rFonts w:ascii="Arial" w:hAnsi="Arial"/>
        </w:rPr>
        <w:t xml:space="preserve"> a</w:t>
      </w:r>
      <w:r w:rsidRPr="007E26B8">
        <w:rPr>
          <w:rFonts w:ascii="Arial" w:hAnsi="Arial"/>
        </w:rPr>
        <w:t>ssessors are able to negate sameness of ans</w:t>
      </w:r>
      <w:r w:rsidR="00133EEF">
        <w:rPr>
          <w:rFonts w:ascii="Arial" w:hAnsi="Arial"/>
        </w:rPr>
        <w:t>wers via contextual questioning</w:t>
      </w:r>
      <w:r w:rsidR="00D35141" w:rsidRPr="007E26B8">
        <w:rPr>
          <w:rFonts w:ascii="Arial" w:hAnsi="Arial"/>
        </w:rPr>
        <w:t xml:space="preserve">. </w:t>
      </w:r>
      <w:r w:rsidR="00D35141">
        <w:rPr>
          <w:rFonts w:ascii="Arial" w:hAnsi="Arial"/>
        </w:rPr>
        <w:t>Levine &amp; McGuire (1970) found oral exams improved the relationship between supervisory e</w:t>
      </w:r>
      <w:r w:rsidR="00133EEF">
        <w:rPr>
          <w:rFonts w:ascii="Arial" w:hAnsi="Arial"/>
        </w:rPr>
        <w:t>valuations and test scores;</w:t>
      </w:r>
      <w:r w:rsidR="00D35141">
        <w:rPr>
          <w:rFonts w:ascii="Arial" w:hAnsi="Arial"/>
        </w:rPr>
        <w:t xml:space="preserve"> </w:t>
      </w:r>
      <w:r w:rsidR="00133EEF">
        <w:rPr>
          <w:rFonts w:ascii="Arial" w:hAnsi="Arial"/>
        </w:rPr>
        <w:t>i</w:t>
      </w:r>
      <w:r w:rsidR="00A50A3F">
        <w:rPr>
          <w:rFonts w:ascii="Arial" w:hAnsi="Arial"/>
        </w:rPr>
        <w:t>nitial results support</w:t>
      </w:r>
      <w:r w:rsidR="008D17AD">
        <w:rPr>
          <w:rFonts w:ascii="Arial" w:hAnsi="Arial"/>
        </w:rPr>
        <w:t xml:space="preserve"> Levine and McGuire’</w:t>
      </w:r>
      <w:r w:rsidR="00A50A3F">
        <w:rPr>
          <w:rFonts w:ascii="Arial" w:hAnsi="Arial"/>
        </w:rPr>
        <w:t>s claims</w:t>
      </w:r>
      <w:r w:rsidR="008D17AD">
        <w:rPr>
          <w:rFonts w:ascii="Arial" w:hAnsi="Arial"/>
        </w:rPr>
        <w:t xml:space="preserve">. </w:t>
      </w:r>
    </w:p>
    <w:p w:rsidR="00D35141" w:rsidRDefault="00A7407D" w:rsidP="00D35141">
      <w:pPr>
        <w:rPr>
          <w:rFonts w:ascii="Arial" w:hAnsi="Arial"/>
        </w:rPr>
      </w:pPr>
      <w:r>
        <w:rPr>
          <w:rFonts w:ascii="Arial" w:hAnsi="Arial"/>
        </w:rPr>
        <w:t xml:space="preserve">Interviews held with students before the verbal exam exhibit a clear </w:t>
      </w:r>
      <w:r w:rsidR="0019247F">
        <w:rPr>
          <w:rFonts w:ascii="Arial" w:hAnsi="Arial"/>
        </w:rPr>
        <w:t>preference for the written exam;</w:t>
      </w:r>
      <w:r>
        <w:rPr>
          <w:rFonts w:ascii="Arial" w:hAnsi="Arial"/>
        </w:rPr>
        <w:t xml:space="preserve"> this supports </w:t>
      </w:r>
      <w:r w:rsidR="00D35141" w:rsidRPr="007E26B8">
        <w:rPr>
          <w:rFonts w:ascii="Arial" w:hAnsi="Arial"/>
        </w:rPr>
        <w:t xml:space="preserve">Kingston and Forland (2008) </w:t>
      </w:r>
      <w:r>
        <w:rPr>
          <w:rFonts w:ascii="Arial" w:hAnsi="Arial"/>
        </w:rPr>
        <w:t xml:space="preserve">who </w:t>
      </w:r>
      <w:r w:rsidR="00D35141" w:rsidRPr="007E26B8">
        <w:rPr>
          <w:rFonts w:ascii="Arial" w:hAnsi="Arial"/>
        </w:rPr>
        <w:t>argue that international stud</w:t>
      </w:r>
      <w:r w:rsidR="00D35141">
        <w:rPr>
          <w:rFonts w:ascii="Arial" w:hAnsi="Arial"/>
        </w:rPr>
        <w:t>ents prefer written assessments.</w:t>
      </w:r>
      <w:r>
        <w:rPr>
          <w:rFonts w:ascii="Arial" w:hAnsi="Arial"/>
        </w:rPr>
        <w:t xml:space="preserve"> However, </w:t>
      </w:r>
      <w:r w:rsidR="0019247F">
        <w:rPr>
          <w:rFonts w:ascii="Arial" w:hAnsi="Arial"/>
        </w:rPr>
        <w:t xml:space="preserve">post </w:t>
      </w:r>
      <w:r>
        <w:rPr>
          <w:rFonts w:ascii="Arial" w:hAnsi="Arial"/>
        </w:rPr>
        <w:t>exam</w:t>
      </w:r>
      <w:r w:rsidR="008D17AD">
        <w:rPr>
          <w:rFonts w:ascii="Arial" w:hAnsi="Arial"/>
        </w:rPr>
        <w:t xml:space="preserve"> discussions (</w:t>
      </w:r>
      <w:r>
        <w:rPr>
          <w:rFonts w:ascii="Arial" w:hAnsi="Arial"/>
        </w:rPr>
        <w:t>prior to grades being released</w:t>
      </w:r>
      <w:r w:rsidR="008D17AD">
        <w:rPr>
          <w:rFonts w:ascii="Arial" w:hAnsi="Arial"/>
        </w:rPr>
        <w:t>)</w:t>
      </w:r>
      <w:r>
        <w:rPr>
          <w:rFonts w:ascii="Arial" w:hAnsi="Arial"/>
        </w:rPr>
        <w:t xml:space="preserve">, </w:t>
      </w:r>
      <w:r w:rsidR="00133EEF">
        <w:rPr>
          <w:rFonts w:ascii="Arial" w:hAnsi="Arial"/>
        </w:rPr>
        <w:t xml:space="preserve">revealed </w:t>
      </w:r>
      <w:r>
        <w:rPr>
          <w:rFonts w:ascii="Arial" w:hAnsi="Arial"/>
        </w:rPr>
        <w:t>the vast majority of home/EU and international students preferred the verbal exam experience.</w:t>
      </w:r>
    </w:p>
    <w:p w:rsidR="001E4B21" w:rsidRPr="009A1755" w:rsidRDefault="009A1755" w:rsidP="009A1755">
      <w:pPr>
        <w:rPr>
          <w:rFonts w:ascii="Arial" w:hAnsi="Arial"/>
        </w:rPr>
      </w:pPr>
      <w:r>
        <w:rPr>
          <w:rFonts w:ascii="Arial" w:hAnsi="Arial"/>
        </w:rPr>
        <w:t xml:space="preserve">For reasons listed above, and perhaps more importantly, a sense that </w:t>
      </w:r>
      <w:r w:rsidR="00D35141">
        <w:rPr>
          <w:rFonts w:ascii="Arial" w:hAnsi="Arial"/>
        </w:rPr>
        <w:t xml:space="preserve">grades obtained by international students </w:t>
      </w:r>
      <w:r>
        <w:rPr>
          <w:rFonts w:ascii="Arial" w:hAnsi="Arial"/>
        </w:rPr>
        <w:t>did not correctly reflec</w:t>
      </w:r>
      <w:r w:rsidR="008D17AD">
        <w:rPr>
          <w:rFonts w:ascii="Arial" w:hAnsi="Arial"/>
        </w:rPr>
        <w:t>t knowledge exhibited</w:t>
      </w:r>
      <w:r>
        <w:rPr>
          <w:rFonts w:ascii="Arial" w:hAnsi="Arial"/>
        </w:rPr>
        <w:t xml:space="preserve"> during lectures, seminars and debates, it was decided to change assessment methods to include a verbal exam.</w:t>
      </w:r>
      <w:r w:rsidR="00917655">
        <w:rPr>
          <w:rFonts w:ascii="Arial" w:hAnsi="Arial"/>
        </w:rPr>
        <w:t xml:space="preserve"> Two modules were chosen whereby assessment included the following: -</w:t>
      </w:r>
    </w:p>
    <w:p w:rsidR="001E4B21" w:rsidRPr="00D35141" w:rsidRDefault="00A6048B" w:rsidP="001E4B2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35141">
        <w:rPr>
          <w:rFonts w:ascii="Arial" w:hAnsi="Arial"/>
        </w:rPr>
        <w:t xml:space="preserve">A 3000 word written report - </w:t>
      </w:r>
      <w:r w:rsidR="001E4B21" w:rsidRPr="00D35141">
        <w:rPr>
          <w:rFonts w:ascii="Arial" w:hAnsi="Arial"/>
        </w:rPr>
        <w:t>students have approx. 8 weeks to produce a</w:t>
      </w:r>
      <w:r w:rsidR="00C02E30">
        <w:rPr>
          <w:rFonts w:ascii="Arial" w:hAnsi="Arial"/>
        </w:rPr>
        <w:t>n individual</w:t>
      </w:r>
      <w:r w:rsidR="001E4B21" w:rsidRPr="00D35141">
        <w:rPr>
          <w:rFonts w:ascii="Arial" w:hAnsi="Arial"/>
        </w:rPr>
        <w:t xml:space="preserve"> report against a specific question given to them at the onset of the module. </w:t>
      </w:r>
      <w:r w:rsidRPr="00D35141">
        <w:rPr>
          <w:rFonts w:ascii="Arial" w:hAnsi="Arial"/>
        </w:rPr>
        <w:t xml:space="preserve"> (50% of module mark)</w:t>
      </w:r>
      <w:r w:rsidR="00C02E30">
        <w:rPr>
          <w:rFonts w:ascii="Arial" w:hAnsi="Arial"/>
        </w:rPr>
        <w:t>.</w:t>
      </w:r>
    </w:p>
    <w:p w:rsidR="00A6048B" w:rsidRPr="00D35141" w:rsidRDefault="001E4B21" w:rsidP="001E4B2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35141">
        <w:rPr>
          <w:rFonts w:ascii="Arial" w:hAnsi="Arial"/>
        </w:rPr>
        <w:t xml:space="preserve">A written in-class test – this is a one-hour </w:t>
      </w:r>
      <w:r w:rsidR="00A6048B" w:rsidRPr="00D35141">
        <w:rPr>
          <w:rFonts w:ascii="Arial" w:hAnsi="Arial"/>
        </w:rPr>
        <w:t>closed book exam where students are asked to answer 3 out of 8 questions. The students do not see the questions until the start of the exam. All students sit the exam at the same time in one location. (20% of module mark)</w:t>
      </w:r>
      <w:r w:rsidR="00C02E30">
        <w:rPr>
          <w:rFonts w:ascii="Arial" w:hAnsi="Arial"/>
        </w:rPr>
        <w:t>.</w:t>
      </w:r>
    </w:p>
    <w:p w:rsidR="00D35141" w:rsidRPr="00687527" w:rsidRDefault="00A6048B" w:rsidP="00A6048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35141">
        <w:rPr>
          <w:rFonts w:ascii="Arial" w:hAnsi="Arial"/>
        </w:rPr>
        <w:t>A</w:t>
      </w:r>
      <w:r w:rsidR="008D10CA" w:rsidRPr="00D35141">
        <w:rPr>
          <w:rFonts w:ascii="Arial" w:hAnsi="Arial"/>
        </w:rPr>
        <w:t>n interactive</w:t>
      </w:r>
      <w:r w:rsidRPr="00D35141">
        <w:rPr>
          <w:rFonts w:ascii="Arial" w:hAnsi="Arial"/>
        </w:rPr>
        <w:t xml:space="preserve"> verbal exam – this is a 10 minute verbal assessment on one of 3 module specific subjects. Students are aware of the subject matters several weeks in advance, but only become aware of the specific question once the exam commences. Each subject matter has 3 questions (nine in total). Students blindly pick one of the nine questions. Students sit the exam on a one-to-one basis. All proceedings are recorded for moderation and external examiner requirements. (30% of module mark).</w:t>
      </w:r>
      <w:r w:rsidR="00E0174B" w:rsidRPr="00D35141">
        <w:rPr>
          <w:rFonts w:ascii="Arial" w:hAnsi="Arial"/>
        </w:rPr>
        <w:t xml:space="preserve"> </w:t>
      </w:r>
    </w:p>
    <w:p w:rsidR="00687527" w:rsidRDefault="00D35141" w:rsidP="00D35141">
      <w:pPr>
        <w:rPr>
          <w:rFonts w:ascii="Arial" w:hAnsi="Arial"/>
        </w:rPr>
      </w:pPr>
      <w:r w:rsidRPr="007E26B8">
        <w:rPr>
          <w:rFonts w:ascii="Arial" w:hAnsi="Arial"/>
        </w:rPr>
        <w:t>To verify the suitability of as</w:t>
      </w:r>
      <w:r>
        <w:rPr>
          <w:rFonts w:ascii="Arial" w:hAnsi="Arial"/>
        </w:rPr>
        <w:t xml:space="preserve">sessment between demographics, the </w:t>
      </w:r>
      <w:r w:rsidRPr="007E26B8">
        <w:rPr>
          <w:rFonts w:ascii="Arial" w:hAnsi="Arial"/>
        </w:rPr>
        <w:t xml:space="preserve">grades </w:t>
      </w:r>
      <w:r>
        <w:rPr>
          <w:rFonts w:ascii="Arial" w:hAnsi="Arial"/>
        </w:rPr>
        <w:t>of</w:t>
      </w:r>
      <w:r w:rsidRPr="007E26B8">
        <w:rPr>
          <w:rFonts w:ascii="Arial" w:hAnsi="Arial"/>
        </w:rPr>
        <w:t xml:space="preserve"> fifty-five Post-Graduate HR</w:t>
      </w:r>
      <w:r>
        <w:rPr>
          <w:rFonts w:ascii="Arial" w:hAnsi="Arial"/>
        </w:rPr>
        <w:t>D/HRM</w:t>
      </w:r>
      <w:r w:rsidRPr="007E26B8">
        <w:rPr>
          <w:rFonts w:ascii="Arial" w:hAnsi="Arial"/>
        </w:rPr>
        <w:t xml:space="preserve"> students were analysed</w:t>
      </w:r>
      <w:r>
        <w:rPr>
          <w:rFonts w:ascii="Arial" w:hAnsi="Arial"/>
        </w:rPr>
        <w:t xml:space="preserve"> across the three forms of assessment.</w:t>
      </w:r>
      <w:r w:rsidRPr="007E26B8">
        <w:rPr>
          <w:rFonts w:ascii="Arial" w:hAnsi="Arial"/>
        </w:rPr>
        <w:t xml:space="preserve"> Students were classified as Home/EU or International. </w:t>
      </w:r>
      <w:r>
        <w:rPr>
          <w:rFonts w:ascii="Arial" w:hAnsi="Arial"/>
        </w:rPr>
        <w:t>Initial significant finding</w:t>
      </w:r>
      <w:r w:rsidR="00A50A3F">
        <w:rPr>
          <w:rFonts w:ascii="Arial" w:hAnsi="Arial"/>
        </w:rPr>
        <w:t>s point to International students (others) performing better in</w:t>
      </w:r>
      <w:r>
        <w:rPr>
          <w:rFonts w:ascii="Arial" w:hAnsi="Arial"/>
        </w:rPr>
        <w:t xml:space="preserve"> verbal rather than written examinations. </w:t>
      </w:r>
      <w:r w:rsidRPr="007E26B8">
        <w:rPr>
          <w:rFonts w:ascii="Arial" w:hAnsi="Arial"/>
        </w:rPr>
        <w:t xml:space="preserve">Differences in mean grade averages between the two student groups for the 3 assessments were </w:t>
      </w:r>
      <w:r>
        <w:rPr>
          <w:rFonts w:ascii="Arial" w:hAnsi="Arial"/>
        </w:rPr>
        <w:t>(written report) =8.4, (written exam) =9.6, (oral exam)</w:t>
      </w:r>
      <w:r w:rsidRPr="007E26B8">
        <w:rPr>
          <w:rFonts w:ascii="Arial" w:hAnsi="Arial"/>
        </w:rPr>
        <w:t xml:space="preserve"> =1.8. Additionally, t-tests showed significant differences for the written tests only. A repeated measurement ANOVA confirmed that the pattern of performance between the two groups in the 3 assessments was significant. F 1.9, 100.4=3.27, p=0.044.</w:t>
      </w:r>
      <w:r>
        <w:rPr>
          <w:rFonts w:ascii="Arial" w:hAnsi="Arial"/>
        </w:rPr>
        <w:t xml:space="preserve"> R</w:t>
      </w:r>
      <w:r w:rsidRPr="007E26B8">
        <w:rPr>
          <w:rFonts w:ascii="Arial" w:hAnsi="Arial"/>
        </w:rPr>
        <w:t>esearch on two additional cohorts is currently</w:t>
      </w:r>
      <w:r>
        <w:rPr>
          <w:rFonts w:ascii="Arial" w:hAnsi="Arial"/>
        </w:rPr>
        <w:t xml:space="preserve"> taking place. More reliable longitudinal and between groups data will be available shortly.</w:t>
      </w:r>
      <w:r w:rsidR="00A50A3F">
        <w:rPr>
          <w:rFonts w:ascii="Arial" w:hAnsi="Arial"/>
        </w:rPr>
        <w:t xml:space="preserve"> </w:t>
      </w:r>
    </w:p>
    <w:p w:rsidR="00A50A3F" w:rsidRDefault="00687527" w:rsidP="00D35141">
      <w:pPr>
        <w:rPr>
          <w:rFonts w:ascii="Arial" w:hAnsi="Arial"/>
        </w:rPr>
      </w:pPr>
      <w:r>
        <w:rPr>
          <w:rFonts w:ascii="Arial" w:hAnsi="Arial"/>
        </w:rPr>
        <w:t xml:space="preserve">An issue emerging from initial findings point towards a relationship between exam results and country of origin, in addition to the classification of international or home/EU. However, Due to the difficulty in determining the true nature of country of origin (e.g. perceived, birthplace, passport status), this requires further investigation. </w:t>
      </w:r>
    </w:p>
    <w:p w:rsidR="00F61F2F" w:rsidRDefault="00687527" w:rsidP="00F61F2F">
      <w:pPr>
        <w:rPr>
          <w:rFonts w:ascii="Arial" w:hAnsi="Arial"/>
        </w:rPr>
      </w:pPr>
      <w:r>
        <w:rPr>
          <w:rFonts w:ascii="Arial" w:hAnsi="Arial"/>
        </w:rPr>
        <w:t xml:space="preserve">Not only are results relevant from an education perspective, </w:t>
      </w:r>
      <w:r w:rsidR="00F61F2F">
        <w:rPr>
          <w:rFonts w:ascii="Arial" w:hAnsi="Arial"/>
        </w:rPr>
        <w:t xml:space="preserve">exam </w:t>
      </w:r>
      <w:r>
        <w:rPr>
          <w:rFonts w:ascii="Arial" w:hAnsi="Arial"/>
        </w:rPr>
        <w:t xml:space="preserve">results are used by organisations as a recruitment and selection criteria. </w:t>
      </w:r>
      <w:r w:rsidR="002F4401">
        <w:rPr>
          <w:rFonts w:ascii="Arial" w:hAnsi="Arial"/>
        </w:rPr>
        <w:t>Perhaps organisations are ignoring ‘other’ students due to lower</w:t>
      </w:r>
      <w:r w:rsidR="007C5EE7">
        <w:rPr>
          <w:rFonts w:ascii="Arial" w:hAnsi="Arial"/>
        </w:rPr>
        <w:t xml:space="preserve"> classification of degree</w:t>
      </w:r>
      <w:r w:rsidR="00C02E30">
        <w:rPr>
          <w:rFonts w:ascii="Arial" w:hAnsi="Arial"/>
        </w:rPr>
        <w:t xml:space="preserve"> compared to home/EU students</w:t>
      </w:r>
      <w:r w:rsidR="007C5EE7">
        <w:rPr>
          <w:rFonts w:ascii="Arial" w:hAnsi="Arial"/>
        </w:rPr>
        <w:t>, when</w:t>
      </w:r>
      <w:r w:rsidR="002F4401">
        <w:rPr>
          <w:rFonts w:ascii="Arial" w:hAnsi="Arial"/>
        </w:rPr>
        <w:t xml:space="preserve"> in fact, had they been assessed verbally, they would have achieved far better, and more accurate results.</w:t>
      </w:r>
    </w:p>
    <w:p w:rsidR="00F61F2F" w:rsidRDefault="00F61F2F" w:rsidP="00F61F2F">
      <w:pPr>
        <w:rPr>
          <w:rFonts w:ascii="Arial" w:hAnsi="Arial"/>
        </w:rPr>
      </w:pPr>
    </w:p>
    <w:p w:rsidR="00F61F2F" w:rsidRPr="00F61F2F" w:rsidRDefault="00F61F2F" w:rsidP="00F61F2F">
      <w:pPr>
        <w:ind w:firstLine="0"/>
        <w:rPr>
          <w:rFonts w:ascii="Arial" w:hAnsi="Arial"/>
        </w:rPr>
      </w:pPr>
      <w:r w:rsidRPr="00F61F2F">
        <w:rPr>
          <w:rFonts w:ascii="Arial" w:hAnsi="Arial"/>
        </w:rPr>
        <w:t>References</w:t>
      </w:r>
    </w:p>
    <w:p w:rsidR="00F61F2F" w:rsidRPr="00F61F2F" w:rsidRDefault="00F61F2F" w:rsidP="00F61F2F">
      <w:pPr>
        <w:pStyle w:val="Reflist"/>
        <w:rPr>
          <w:sz w:val="24"/>
        </w:rPr>
      </w:pPr>
      <w:r w:rsidRPr="00F61F2F">
        <w:rPr>
          <w:bCs/>
          <w:sz w:val="24"/>
          <w:szCs w:val="24"/>
        </w:rPr>
        <w:t>Cai, G. (</w:t>
      </w:r>
      <w:r w:rsidRPr="00F61F2F">
        <w:rPr>
          <w:sz w:val="24"/>
          <w:szCs w:val="24"/>
        </w:rPr>
        <w:t xml:space="preserve">1999). ‘Texts in contexts: Understanding Chinese students' English </w:t>
      </w:r>
    </w:p>
    <w:p w:rsidR="00F61F2F" w:rsidRPr="00F61F2F" w:rsidRDefault="00F61F2F" w:rsidP="00F61F2F">
      <w:pPr>
        <w:pStyle w:val="Reflist"/>
        <w:rPr>
          <w:sz w:val="24"/>
          <w:szCs w:val="24"/>
        </w:rPr>
      </w:pPr>
      <w:r w:rsidRPr="00F61F2F">
        <w:rPr>
          <w:sz w:val="24"/>
          <w:szCs w:val="24"/>
        </w:rPr>
        <w:tab/>
        <w:t xml:space="preserve">Compositions’. In C. Cooper and L. Odell (eds.), </w:t>
      </w:r>
      <w:r w:rsidRPr="00F61F2F">
        <w:rPr>
          <w:iCs/>
          <w:sz w:val="24"/>
          <w:szCs w:val="24"/>
        </w:rPr>
        <w:t xml:space="preserve">Evaluating writing: </w:t>
      </w:r>
      <w:r>
        <w:rPr>
          <w:iCs/>
          <w:sz w:val="24"/>
          <w:szCs w:val="24"/>
        </w:rPr>
        <w:tab/>
      </w:r>
      <w:r w:rsidRPr="00F61F2F">
        <w:rPr>
          <w:i/>
          <w:iCs/>
          <w:sz w:val="24"/>
          <w:szCs w:val="24"/>
        </w:rPr>
        <w:t>The Role of Teachers' Knowledge about Text, Learning and Culture</w:t>
      </w:r>
      <w:r w:rsidRPr="00F61F2F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ab/>
      </w:r>
      <w:r w:rsidR="00C02E30">
        <w:rPr>
          <w:sz w:val="24"/>
          <w:szCs w:val="24"/>
        </w:rPr>
        <w:t xml:space="preserve">Urbana, Ill: </w:t>
      </w:r>
      <w:r w:rsidRPr="00F61F2F">
        <w:rPr>
          <w:sz w:val="24"/>
          <w:szCs w:val="24"/>
        </w:rPr>
        <w:t xml:space="preserve">National Council of Teachers of English. </w:t>
      </w:r>
    </w:p>
    <w:p w:rsidR="00F61F2F" w:rsidRPr="00F61F2F" w:rsidRDefault="00F61F2F" w:rsidP="00F61F2F">
      <w:pPr>
        <w:pStyle w:val="Reflist"/>
        <w:rPr>
          <w:sz w:val="24"/>
          <w:szCs w:val="24"/>
        </w:rPr>
      </w:pPr>
    </w:p>
    <w:p w:rsidR="00F61F2F" w:rsidRPr="00F61F2F" w:rsidRDefault="00F61F2F" w:rsidP="00F61F2F">
      <w:pPr>
        <w:pStyle w:val="Reflist"/>
        <w:rPr>
          <w:bCs/>
          <w:sz w:val="24"/>
          <w:szCs w:val="24"/>
        </w:rPr>
      </w:pPr>
      <w:r w:rsidRPr="00F61F2F">
        <w:rPr>
          <w:bCs/>
          <w:sz w:val="24"/>
          <w:szCs w:val="24"/>
        </w:rPr>
        <w:t xml:space="preserve">Kingston, E., &amp; Forland, H. (2008). Bridging the Gap in Expectations Between </w:t>
      </w:r>
      <w:r w:rsidRPr="00F61F2F">
        <w:rPr>
          <w:bCs/>
          <w:sz w:val="24"/>
          <w:szCs w:val="24"/>
        </w:rPr>
        <w:tab/>
        <w:t xml:space="preserve">International Students and Academic Staff. </w:t>
      </w:r>
      <w:r w:rsidRPr="00F61F2F">
        <w:rPr>
          <w:bCs/>
          <w:i/>
          <w:sz w:val="24"/>
          <w:szCs w:val="24"/>
        </w:rPr>
        <w:t xml:space="preserve">Journal of Studies in </w:t>
      </w:r>
      <w:r>
        <w:rPr>
          <w:bCs/>
          <w:i/>
          <w:sz w:val="24"/>
          <w:szCs w:val="24"/>
        </w:rPr>
        <w:tab/>
      </w:r>
      <w:r w:rsidRPr="00F61F2F">
        <w:rPr>
          <w:bCs/>
          <w:i/>
          <w:sz w:val="24"/>
          <w:szCs w:val="24"/>
        </w:rPr>
        <w:t xml:space="preserve">International </w:t>
      </w:r>
      <w:r w:rsidRPr="00F61F2F">
        <w:rPr>
          <w:bCs/>
          <w:i/>
          <w:sz w:val="24"/>
          <w:szCs w:val="24"/>
        </w:rPr>
        <w:tab/>
        <w:t>Education</w:t>
      </w:r>
      <w:r w:rsidRPr="00F61F2F">
        <w:rPr>
          <w:bCs/>
          <w:sz w:val="24"/>
          <w:szCs w:val="24"/>
        </w:rPr>
        <w:t>, Vol. 12 No. 2, pp. 204-221.</w:t>
      </w:r>
    </w:p>
    <w:p w:rsidR="00F61F2F" w:rsidRPr="00F61F2F" w:rsidRDefault="00F61F2F" w:rsidP="00F61F2F">
      <w:pPr>
        <w:pStyle w:val="Reflist"/>
        <w:rPr>
          <w:bCs/>
          <w:sz w:val="24"/>
          <w:szCs w:val="24"/>
        </w:rPr>
      </w:pPr>
    </w:p>
    <w:p w:rsidR="00F61F2F" w:rsidRPr="00F61F2F" w:rsidRDefault="00F61F2F" w:rsidP="00F61F2F">
      <w:pPr>
        <w:pStyle w:val="Reflist"/>
        <w:rPr>
          <w:sz w:val="24"/>
        </w:rPr>
      </w:pPr>
      <w:r w:rsidRPr="00F61F2F">
        <w:rPr>
          <w:sz w:val="24"/>
        </w:rPr>
        <w:t xml:space="preserve">Knight, P. (1995). </w:t>
      </w:r>
      <w:r w:rsidRPr="00F61F2F">
        <w:rPr>
          <w:i/>
          <w:sz w:val="24"/>
        </w:rPr>
        <w:t xml:space="preserve">Assessment for Learning in Higher Education. Staff and </w:t>
      </w:r>
      <w:r>
        <w:rPr>
          <w:i/>
          <w:sz w:val="24"/>
        </w:rPr>
        <w:tab/>
      </w:r>
      <w:r w:rsidRPr="00F61F2F">
        <w:rPr>
          <w:i/>
          <w:sz w:val="24"/>
        </w:rPr>
        <w:t>Educational Development Series</w:t>
      </w:r>
      <w:r w:rsidRPr="00F61F2F">
        <w:rPr>
          <w:sz w:val="24"/>
        </w:rPr>
        <w:t>. Kogan Page, London.</w:t>
      </w:r>
    </w:p>
    <w:p w:rsidR="00F61F2F" w:rsidRPr="00F61F2F" w:rsidRDefault="00F61F2F" w:rsidP="00F61F2F">
      <w:pPr>
        <w:pStyle w:val="Reflist"/>
        <w:rPr>
          <w:sz w:val="24"/>
        </w:rPr>
      </w:pPr>
    </w:p>
    <w:p w:rsidR="00F61F2F" w:rsidRPr="00F61F2F" w:rsidRDefault="00F61F2F" w:rsidP="00F61F2F">
      <w:pPr>
        <w:pStyle w:val="Reflist"/>
        <w:rPr>
          <w:bCs/>
          <w:sz w:val="24"/>
          <w:szCs w:val="24"/>
        </w:rPr>
      </w:pPr>
      <w:r w:rsidRPr="00F61F2F">
        <w:rPr>
          <w:bCs/>
          <w:sz w:val="24"/>
          <w:szCs w:val="24"/>
        </w:rPr>
        <w:t xml:space="preserve">Levine, H, G., &amp; McGuire, C, H. (1970). The validity and reliability of oral </w:t>
      </w:r>
      <w:r>
        <w:rPr>
          <w:bCs/>
          <w:sz w:val="24"/>
          <w:szCs w:val="24"/>
        </w:rPr>
        <w:tab/>
      </w:r>
      <w:r w:rsidRPr="00F61F2F">
        <w:rPr>
          <w:bCs/>
          <w:sz w:val="24"/>
          <w:szCs w:val="24"/>
        </w:rPr>
        <w:t xml:space="preserve">examinations in assessing cognitive skills in medicine. </w:t>
      </w:r>
      <w:r w:rsidRPr="00F61F2F">
        <w:rPr>
          <w:bCs/>
          <w:i/>
          <w:sz w:val="24"/>
          <w:szCs w:val="24"/>
        </w:rPr>
        <w:t xml:space="preserve">Journal of </w:t>
      </w:r>
      <w:r>
        <w:rPr>
          <w:bCs/>
          <w:i/>
          <w:sz w:val="24"/>
          <w:szCs w:val="24"/>
        </w:rPr>
        <w:tab/>
      </w:r>
      <w:r w:rsidRPr="00F61F2F">
        <w:rPr>
          <w:bCs/>
          <w:i/>
          <w:sz w:val="24"/>
          <w:szCs w:val="24"/>
        </w:rPr>
        <w:t xml:space="preserve">Educational </w:t>
      </w:r>
      <w:r w:rsidRPr="00F61F2F">
        <w:rPr>
          <w:bCs/>
          <w:i/>
          <w:sz w:val="24"/>
          <w:szCs w:val="24"/>
        </w:rPr>
        <w:tab/>
        <w:t>Measurement</w:t>
      </w:r>
      <w:r w:rsidRPr="00F61F2F">
        <w:rPr>
          <w:bCs/>
          <w:sz w:val="24"/>
          <w:szCs w:val="24"/>
        </w:rPr>
        <w:t>. Vol. 7, No. 2, pp. 62-74.</w:t>
      </w:r>
    </w:p>
    <w:p w:rsidR="00A71088" w:rsidRPr="00F61F2F" w:rsidRDefault="00A71088" w:rsidP="00F61F2F">
      <w:pPr>
        <w:pStyle w:val="Reflist"/>
        <w:rPr>
          <w:szCs w:val="24"/>
        </w:rPr>
      </w:pPr>
    </w:p>
    <w:sectPr w:rsidR="00A71088" w:rsidRPr="00F61F2F" w:rsidSect="00E0174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0E51"/>
    <w:multiLevelType w:val="hybridMultilevel"/>
    <w:tmpl w:val="FAA8AF4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6E3E82"/>
    <w:multiLevelType w:val="hybridMultilevel"/>
    <w:tmpl w:val="619C2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9069CC"/>
    <w:multiLevelType w:val="hybridMultilevel"/>
    <w:tmpl w:val="3FCA8B0C"/>
    <w:lvl w:ilvl="0" w:tplc="C2944248">
      <w:start w:val="1"/>
      <w:numFmt w:val="lowerLetter"/>
      <w:lvlText w:val="%1)"/>
      <w:lvlJc w:val="left"/>
      <w:pPr>
        <w:ind w:left="1387" w:hanging="8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1088"/>
    <w:rsid w:val="00133EEF"/>
    <w:rsid w:val="0019247F"/>
    <w:rsid w:val="001E4B21"/>
    <w:rsid w:val="00272C99"/>
    <w:rsid w:val="002F4401"/>
    <w:rsid w:val="00687527"/>
    <w:rsid w:val="00691A9A"/>
    <w:rsid w:val="007C5EE7"/>
    <w:rsid w:val="008D10CA"/>
    <w:rsid w:val="008D17AD"/>
    <w:rsid w:val="00917655"/>
    <w:rsid w:val="009A1755"/>
    <w:rsid w:val="00A50A3F"/>
    <w:rsid w:val="00A6048B"/>
    <w:rsid w:val="00A71088"/>
    <w:rsid w:val="00A7407D"/>
    <w:rsid w:val="00C02E30"/>
    <w:rsid w:val="00D35141"/>
    <w:rsid w:val="00DC31D7"/>
    <w:rsid w:val="00E0174B"/>
    <w:rsid w:val="00F20352"/>
    <w:rsid w:val="00F54085"/>
    <w:rsid w:val="00F61F2F"/>
    <w:rsid w:val="00F77BC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aliases w:val="PhD style"/>
    <w:qFormat/>
    <w:rsid w:val="005973FD"/>
    <w:pPr>
      <w:spacing w:line="480" w:lineRule="auto"/>
      <w:ind w:firstLine="567"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D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E3"/>
    <w:rPr>
      <w:rFonts w:ascii="Lucida Grande" w:hAnsi="Lucida Grande"/>
      <w:sz w:val="18"/>
      <w:szCs w:val="18"/>
    </w:rPr>
  </w:style>
  <w:style w:type="paragraph" w:customStyle="1" w:styleId="Behaviour">
    <w:name w:val="Behaviour"/>
    <w:basedOn w:val="BodyTextFirstIndent"/>
    <w:next w:val="BlockText"/>
    <w:autoRedefine/>
    <w:qFormat/>
    <w:rsid w:val="00733D72"/>
    <w:pPr>
      <w:spacing w:line="360" w:lineRule="auto"/>
    </w:pPr>
    <w:rPr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91F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91FED"/>
    <w:rPr>
      <w:rFonts w:ascii="Times New Roman" w:hAnsi="Times New Roman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91FE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91FED"/>
  </w:style>
  <w:style w:type="paragraph" w:styleId="BlockText">
    <w:name w:val="Block Text"/>
    <w:basedOn w:val="Normal"/>
    <w:uiPriority w:val="99"/>
    <w:semiHidden/>
    <w:unhideWhenUsed/>
    <w:rsid w:val="00C91FE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table" w:customStyle="1" w:styleId="Table1">
    <w:name w:val="Table 1"/>
    <w:basedOn w:val="TableGrid"/>
    <w:qFormat/>
    <w:rsid w:val="00A44908"/>
    <w:rPr>
      <w:rFonts w:ascii="Times New Roman" w:hAnsi="Times New Roman"/>
      <w:sz w:val="20"/>
      <w:szCs w:val="20"/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lastCol">
      <w:rPr>
        <w:rFonts w:ascii="Times New Roman" w:hAnsi="Times New Roman"/>
        <w:sz w:val="18"/>
      </w:rPr>
    </w:tblStylePr>
  </w:style>
  <w:style w:type="table" w:styleId="TableGrid">
    <w:name w:val="Table Grid"/>
    <w:basedOn w:val="TableNormal"/>
    <w:uiPriority w:val="59"/>
    <w:rsid w:val="00A449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qFormat/>
    <w:rsid w:val="00177815"/>
    <w:pPr>
      <w:ind w:firstLine="720"/>
    </w:pPr>
  </w:style>
  <w:style w:type="paragraph" w:customStyle="1" w:styleId="Reflist">
    <w:name w:val="Ref list"/>
    <w:basedOn w:val="Normal"/>
    <w:qFormat/>
    <w:rsid w:val="00653BBC"/>
    <w:pPr>
      <w:spacing w:line="360" w:lineRule="auto"/>
      <w:ind w:firstLine="0"/>
    </w:pPr>
    <w:rPr>
      <w:rFonts w:ascii="Arial" w:eastAsia="Helvetica" w:hAnsi="Arial" w:cs="Times New Roman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28C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8C9"/>
    <w:rPr>
      <w:rFonts w:ascii="Times New Roman" w:hAnsi="Times New Roman"/>
    </w:rPr>
  </w:style>
  <w:style w:type="paragraph" w:customStyle="1" w:styleId="Reflist1">
    <w:name w:val="Ref list 1"/>
    <w:qFormat/>
    <w:rsid w:val="00EB28C9"/>
    <w:pPr>
      <w:spacing w:line="360" w:lineRule="auto"/>
      <w:ind w:left="720" w:hanging="72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1E4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4865</Characters>
  <Application>Microsoft Macintosh Word</Application>
  <DocSecurity>0</DocSecurity>
  <Lines>40</Lines>
  <Paragraphs>9</Paragraphs>
  <ScaleCrop>false</ScaleCrop>
  <Company>coventry university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connor</dc:creator>
  <cp:keywords/>
  <cp:lastModifiedBy>gary connor</cp:lastModifiedBy>
  <cp:revision>2</cp:revision>
  <dcterms:created xsi:type="dcterms:W3CDTF">2012-05-08T16:42:00Z</dcterms:created>
  <dcterms:modified xsi:type="dcterms:W3CDTF">2012-05-08T16:42:00Z</dcterms:modified>
</cp:coreProperties>
</file>